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53E0E" w14:textId="1D7CE07E" w:rsidR="004B585B" w:rsidRPr="005232B4" w:rsidRDefault="006E6F31" w:rsidP="004B585B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71963" wp14:editId="355CD641">
            <wp:simplePos x="0" y="0"/>
            <wp:positionH relativeFrom="margin">
              <wp:posOffset>3784600</wp:posOffset>
            </wp:positionH>
            <wp:positionV relativeFrom="margin">
              <wp:posOffset>-211878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0A515D" w14:textId="21422A9A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7E0320E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2EED11B0" w14:textId="651D68F4" w:rsidR="004B585B" w:rsidRPr="005232B4" w:rsidRDefault="004B585B" w:rsidP="004B585B">
      <w:pPr>
        <w:rPr>
          <w:rFonts w:asciiTheme="minorHAnsi" w:hAnsiTheme="minorHAnsi" w:cstheme="minorHAnsi"/>
        </w:rPr>
      </w:pPr>
    </w:p>
    <w:p w14:paraId="57CC552B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54EC305B" w14:textId="726C6823" w:rsidR="004B585B" w:rsidRPr="005232B4" w:rsidRDefault="004B585B" w:rsidP="004B585B">
      <w:pPr>
        <w:rPr>
          <w:rFonts w:asciiTheme="minorHAnsi" w:hAnsiTheme="minorHAnsi" w:cstheme="minorHAnsi"/>
        </w:rPr>
      </w:pPr>
    </w:p>
    <w:p w14:paraId="0407F5D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06E15D6" w14:textId="273BDEB1" w:rsidR="00EB213C" w:rsidRPr="005232B4" w:rsidRDefault="00EB213C" w:rsidP="004B585B">
      <w:pPr>
        <w:rPr>
          <w:rFonts w:asciiTheme="minorHAnsi" w:hAnsiTheme="minorHAnsi" w:cstheme="minorHAnsi"/>
        </w:rPr>
      </w:pPr>
    </w:p>
    <w:p w14:paraId="5A489473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2D73D439" w14:textId="77777777" w:rsidR="00EB213C" w:rsidRPr="005232B4" w:rsidRDefault="00EB213C" w:rsidP="004B585B">
      <w:pPr>
        <w:rPr>
          <w:rFonts w:asciiTheme="minorHAnsi" w:hAnsiTheme="minorHAnsi" w:cstheme="minorHAnsi"/>
        </w:rPr>
      </w:pPr>
    </w:p>
    <w:p w14:paraId="4FA15D62" w14:textId="00EC63CC" w:rsidR="004B585B" w:rsidRPr="005232B4" w:rsidRDefault="004B585B" w:rsidP="004B585B">
      <w:pPr>
        <w:rPr>
          <w:rFonts w:asciiTheme="minorHAnsi" w:hAnsiTheme="minorHAnsi" w:cstheme="minorHAnsi"/>
        </w:rPr>
      </w:pPr>
    </w:p>
    <w:p w14:paraId="7C8847CC" w14:textId="09C9A2F0" w:rsidR="004B585B" w:rsidRPr="006E6F31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13375D17" w14:textId="77777777" w:rsidR="004B585B" w:rsidRPr="006E6F31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4DFAF81F" w14:textId="77777777" w:rsidR="004B585B" w:rsidRPr="006E6F31" w:rsidRDefault="004B585B" w:rsidP="004B585B">
      <w:pPr>
        <w:rPr>
          <w:rFonts w:ascii="Verdana" w:hAnsi="Verdana" w:cstheme="minorHAnsi"/>
          <w:sz w:val="20"/>
          <w:szCs w:val="20"/>
        </w:rPr>
      </w:pPr>
    </w:p>
    <w:p w14:paraId="300DA304" w14:textId="0D621A55" w:rsidR="00C76204" w:rsidRPr="006E6F31" w:rsidRDefault="0087588E" w:rsidP="00C76204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6E6F31">
        <w:rPr>
          <w:rFonts w:ascii="Verdana" w:hAnsi="Verdana"/>
          <w:b/>
          <w:bCs/>
          <w:sz w:val="24"/>
          <w:szCs w:val="24"/>
          <w:lang w:val="pt-BR"/>
        </w:rPr>
        <w:t>Plano de Manejo de Pragas</w:t>
      </w:r>
    </w:p>
    <w:p w14:paraId="16339D8F" w14:textId="1C227B2C" w:rsidR="00C76204" w:rsidRPr="006E6F31" w:rsidRDefault="00C76204" w:rsidP="00C76204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</w:p>
    <w:p w14:paraId="553026E7" w14:textId="59188A42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6E6F31">
        <w:rPr>
          <w:rFonts w:ascii="Verdana" w:hAnsi="Verdana"/>
          <w:b/>
          <w:bCs/>
          <w:sz w:val="21"/>
          <w:szCs w:val="21"/>
          <w:lang w:val="pt-BR"/>
        </w:rPr>
        <w:t>Data</w:t>
      </w:r>
    </w:p>
    <w:p w14:paraId="33514F59" w14:textId="77777777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515DE498" w14:textId="6C492D5A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6E6F31">
        <w:rPr>
          <w:rFonts w:ascii="Verdana" w:hAnsi="Verdana"/>
          <w:b/>
          <w:bCs/>
          <w:sz w:val="21"/>
          <w:szCs w:val="21"/>
          <w:lang w:val="pt-BR"/>
        </w:rPr>
        <w:t>Subvenção CEPF xxxxx</w:t>
      </w:r>
    </w:p>
    <w:p w14:paraId="1A177E34" w14:textId="77777777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12514259" w14:textId="77777777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6E6F31">
        <w:rPr>
          <w:rFonts w:ascii="Verdana" w:hAnsi="Verdana"/>
          <w:b/>
          <w:bCs/>
          <w:sz w:val="21"/>
          <w:szCs w:val="21"/>
          <w:lang w:val="pt-BR"/>
        </w:rPr>
        <w:t>Beneficiário</w:t>
      </w:r>
    </w:p>
    <w:p w14:paraId="526AFF50" w14:textId="77777777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6DD175A1" w14:textId="77777777" w:rsidR="00C76204" w:rsidRPr="006E6F31" w:rsidRDefault="00C76204" w:rsidP="00C76204">
      <w:pPr>
        <w:jc w:val="center"/>
        <w:rPr>
          <w:rFonts w:ascii="Verdana" w:hAnsi="Verdana"/>
          <w:b/>
          <w:bCs/>
          <w:i/>
          <w:sz w:val="21"/>
          <w:szCs w:val="21"/>
          <w:lang w:val="pt-BR"/>
        </w:rPr>
      </w:pPr>
      <w:r w:rsidRPr="006E6F31">
        <w:rPr>
          <w:rFonts w:ascii="Verdana" w:hAnsi="Verdana"/>
          <w:b/>
          <w:bCs/>
          <w:i/>
          <w:sz w:val="21"/>
          <w:szCs w:val="21"/>
          <w:lang w:val="pt-BR"/>
        </w:rPr>
        <w:t>Nome do projeto</w:t>
      </w:r>
    </w:p>
    <w:p w14:paraId="179A8BF7" w14:textId="77777777" w:rsidR="00C76204" w:rsidRPr="006E6F3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1EF83A8E" w14:textId="21B93850" w:rsidR="004B585B" w:rsidRPr="006E6F31" w:rsidRDefault="00C76204" w:rsidP="00C76204">
      <w:pPr>
        <w:jc w:val="center"/>
        <w:rPr>
          <w:rFonts w:ascii="Verdana" w:hAnsi="Verdana" w:cstheme="minorHAnsi"/>
          <w:sz w:val="21"/>
          <w:szCs w:val="21"/>
          <w:lang w:val="pt-BR"/>
        </w:rPr>
        <w:sectPr w:rsidR="004B585B" w:rsidRPr="006E6F31" w:rsidSect="00514E26">
          <w:pgSz w:w="12240" w:h="15840"/>
          <w:pgMar w:top="1440" w:right="1800" w:bottom="1440" w:left="1800" w:header="720" w:footer="720" w:gutter="0"/>
          <w:cols w:space="720"/>
        </w:sectPr>
      </w:pPr>
      <w:r w:rsidRPr="006E6F31">
        <w:rPr>
          <w:rFonts w:ascii="Verdana" w:hAnsi="Verdana"/>
          <w:b/>
          <w:bCs/>
          <w:sz w:val="21"/>
          <w:szCs w:val="21"/>
          <w:lang w:val="pt-BR"/>
        </w:rPr>
        <w:t xml:space="preserve">Local do </w:t>
      </w:r>
      <w:proofErr w:type="spellStart"/>
      <w:r w:rsidRPr="006E6F31">
        <w:rPr>
          <w:rFonts w:ascii="Verdana" w:hAnsi="Verdana"/>
          <w:b/>
          <w:bCs/>
          <w:sz w:val="21"/>
          <w:szCs w:val="21"/>
          <w:lang w:val="pt-BR"/>
        </w:rPr>
        <w:t>Projet</w:t>
      </w:r>
      <w:proofErr w:type="spellEnd"/>
    </w:p>
    <w:p w14:paraId="5D3B3B25" w14:textId="55982606" w:rsidR="0087588E" w:rsidRPr="00F85B67" w:rsidRDefault="00F85B67" w:rsidP="0087588E">
      <w:pPr>
        <w:pStyle w:val="Heading2"/>
        <w:rPr>
          <w:rFonts w:ascii="Verdana" w:hAnsi="Verdana"/>
          <w:color w:val="000000" w:themeColor="text1"/>
          <w:sz w:val="22"/>
          <w:szCs w:val="22"/>
          <w:lang w:val="pt-BR"/>
        </w:rPr>
      </w:pPr>
      <w:r w:rsidRPr="00F85B67">
        <w:rPr>
          <w:rFonts w:ascii="Verdana" w:hAnsi="Verdana"/>
          <w:color w:val="000000" w:themeColor="text1"/>
          <w:sz w:val="22"/>
          <w:szCs w:val="22"/>
          <w:lang w:val="pt-BR"/>
        </w:rPr>
        <w:lastRenderedPageBreak/>
        <w:t>OBJETIVO</w:t>
      </w:r>
    </w:p>
    <w:p w14:paraId="4458DE65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u w:val="single"/>
          <w:lang w:val="pt-BR"/>
        </w:rPr>
      </w:pPr>
    </w:p>
    <w:p w14:paraId="2058AE5F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O plano de Manejo de Pragas (PMP) irá descrever os requisitos do CEPF para garantir a utilização das melhores práticas no controle e remoção de plantas exóticas invasoras, insetos e animais em conformidade com as salvaguardas do Banco Mundial. Estas informações estão incluídas no Manual Operacional do CEPF.</w:t>
      </w:r>
    </w:p>
    <w:p w14:paraId="052638A6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2657EC62" w14:textId="4545B3B0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 xml:space="preserve">O objetivo destas diretrizes é evitar, minimizar ou mitigar os </w:t>
      </w:r>
      <w:r w:rsidR="00E7020A" w:rsidRPr="006E6F31">
        <w:rPr>
          <w:rFonts w:ascii="Verdana" w:hAnsi="Verdana"/>
          <w:bCs/>
          <w:iCs/>
          <w:sz w:val="20"/>
          <w:szCs w:val="20"/>
          <w:lang w:val="pt-BR"/>
        </w:rPr>
        <w:t xml:space="preserve">potenciais </w:t>
      </w:r>
      <w:r w:rsidRPr="006E6F31">
        <w:rPr>
          <w:rFonts w:ascii="Verdana" w:hAnsi="Verdana"/>
          <w:bCs/>
          <w:iCs/>
          <w:sz w:val="20"/>
          <w:szCs w:val="20"/>
          <w:lang w:val="pt-BR"/>
        </w:rPr>
        <w:t xml:space="preserve">efeitos negativos da aplicação de pesticidas, inseticidas e herbicidas (aqui referidas </w:t>
      </w:r>
      <w:r w:rsidR="00E7020A" w:rsidRPr="006E6F31">
        <w:rPr>
          <w:rFonts w:ascii="Verdana" w:hAnsi="Verdana"/>
          <w:bCs/>
          <w:iCs/>
          <w:sz w:val="20"/>
          <w:szCs w:val="20"/>
          <w:lang w:val="pt-BR"/>
        </w:rPr>
        <w:t xml:space="preserve">conjuntamente </w:t>
      </w:r>
      <w:r w:rsidRPr="006E6F31">
        <w:rPr>
          <w:rFonts w:ascii="Verdana" w:hAnsi="Verdana"/>
          <w:bCs/>
          <w:iCs/>
          <w:sz w:val="20"/>
          <w:szCs w:val="20"/>
          <w:lang w:val="pt-BR"/>
        </w:rPr>
        <w:t>como "pesticidas") no esforço para restaurar os habitats naturais.</w:t>
      </w:r>
    </w:p>
    <w:p w14:paraId="1614284C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1E5AA408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Este documento descreve os requisitos e procedimentos de planejamento para os candidatos/beneficiários na preparação e implementação de projetos de controle de espécies exóticas invasoras (EEI) financiados pelo CEPF, bem como o papel do CEPF em assegurar a conformidade com estas diretrizes.</w:t>
      </w:r>
    </w:p>
    <w:p w14:paraId="16539822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1FFFFFEF" w14:textId="44D0FC9F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A propagação de animais e plantas exóticas invasoras é a segunda maior causa de perda de biodiversidade, após a destruição do habitat. No contexto do CEPF, muitas das Áreas-Chave para a Biodiversidade (KBAs em inglês) e corredores destinados ao investimento sofrem, em particular, com as plantas não-</w:t>
      </w:r>
      <w:r w:rsidR="009617C5" w:rsidRPr="006E6F31">
        <w:rPr>
          <w:rFonts w:ascii="Verdana" w:hAnsi="Verdana"/>
          <w:sz w:val="20"/>
          <w:szCs w:val="20"/>
          <w:lang w:val="pt-BR"/>
        </w:rPr>
        <w:t xml:space="preserve">endêmicas </w:t>
      </w:r>
      <w:r w:rsidRPr="006E6F31">
        <w:rPr>
          <w:rFonts w:ascii="Verdana" w:hAnsi="Verdana"/>
          <w:sz w:val="20"/>
          <w:szCs w:val="20"/>
          <w:lang w:val="pt-BR"/>
        </w:rPr>
        <w:t>que tomaram o controle das paisagens naturais, e de animais não-</w:t>
      </w:r>
      <w:r w:rsidR="009617C5" w:rsidRPr="006E6F31">
        <w:rPr>
          <w:rFonts w:ascii="Verdana" w:hAnsi="Verdana"/>
          <w:sz w:val="20"/>
          <w:szCs w:val="20"/>
          <w:lang w:val="pt-BR"/>
        </w:rPr>
        <w:t xml:space="preserve">endêmicos </w:t>
      </w:r>
      <w:r w:rsidRPr="006E6F31">
        <w:rPr>
          <w:rFonts w:ascii="Verdana" w:hAnsi="Verdana"/>
          <w:sz w:val="20"/>
          <w:szCs w:val="20"/>
          <w:lang w:val="pt-BR"/>
        </w:rPr>
        <w:t xml:space="preserve">que perturbam os ecossistemas.  Muitos perfis ecossistêmicos incluem, especificamente, o controle e a remoção de espécies exóticas invasoras como uma prioridade de investimento. O controle de espécies exóticas invasoras em KBAs e corredores não é uma exceção, mas uma parte das operações </w:t>
      </w:r>
      <w:r w:rsidR="009617C5" w:rsidRPr="006E6F31">
        <w:rPr>
          <w:rFonts w:ascii="Verdana" w:hAnsi="Verdana"/>
          <w:sz w:val="20"/>
          <w:szCs w:val="20"/>
          <w:lang w:val="pt-BR"/>
        </w:rPr>
        <w:t xml:space="preserve">padrão do </w:t>
      </w:r>
      <w:r w:rsidRPr="006E6F31">
        <w:rPr>
          <w:rFonts w:ascii="Verdana" w:hAnsi="Verdana"/>
          <w:sz w:val="20"/>
          <w:szCs w:val="20"/>
          <w:lang w:val="pt-BR"/>
        </w:rPr>
        <w:t>CEPF em alguns hotspots, e como tal, as diretrizes aplicáveis devem ser seguidas.</w:t>
      </w:r>
    </w:p>
    <w:p w14:paraId="3B0A346A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11899004" w14:textId="4E5DC33D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 xml:space="preserve">As situações </w:t>
      </w:r>
      <w:proofErr w:type="gramStart"/>
      <w:r w:rsidRPr="006E6F31">
        <w:rPr>
          <w:rFonts w:ascii="Verdana" w:hAnsi="Verdana"/>
          <w:sz w:val="20"/>
          <w:szCs w:val="20"/>
          <w:lang w:val="pt-BR"/>
        </w:rPr>
        <w:t>onde</w:t>
      </w:r>
      <w:proofErr w:type="gramEnd"/>
      <w:r w:rsidRPr="006E6F31">
        <w:rPr>
          <w:rFonts w:ascii="Verdana" w:hAnsi="Verdana"/>
          <w:sz w:val="20"/>
          <w:szCs w:val="20"/>
          <w:lang w:val="pt-BR"/>
        </w:rPr>
        <w:t xml:space="preserve"> se aplicam estas diretrizes incluem subvenções que:</w:t>
      </w:r>
    </w:p>
    <w:p w14:paraId="6566A432" w14:textId="77777777" w:rsidR="0087588E" w:rsidRPr="006E6F31" w:rsidRDefault="0087588E" w:rsidP="0087588E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Financiam a compra direta ou as despesas relacionadas com a fabricação, aquisição, transporte, aplicação, armazenamento ou eliminação de pesticidas, incluindo os custos de materiais, equipamentos e mão de obra.</w:t>
      </w:r>
    </w:p>
    <w:p w14:paraId="2DB5FB97" w14:textId="77777777" w:rsidR="0087588E" w:rsidRPr="006E6F31" w:rsidRDefault="0087588E" w:rsidP="0087588E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Financiam a compra direta ou as despesas relacionadas com o controle ou a remoção de animais por meios químicos.</w:t>
      </w:r>
    </w:p>
    <w:p w14:paraId="39819923" w14:textId="77777777" w:rsidR="0087588E" w:rsidRPr="006E6F31" w:rsidRDefault="0087588E" w:rsidP="0087588E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Financiam o planejamento, gestão ou supervisão de trabalhos que envolvem o uso geral de pesticidas ou de controle de animais, conforme descrito nos dois pontos acima.</w:t>
      </w:r>
    </w:p>
    <w:p w14:paraId="3BDC9FEB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19EFC9CC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Os exemplos dos tipos de subvenções a que se aplicam estas diretrizes incluem, mas não estão limitados a:</w:t>
      </w:r>
    </w:p>
    <w:p w14:paraId="1F1D5F45" w14:textId="7E17EA93" w:rsidR="0087588E" w:rsidRPr="006E6F31" w:rsidRDefault="0087588E" w:rsidP="0087588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Uma subvenção que implica o emprego de mão de obra e aplicação de herbicida para restaurar uma paisagem degradada e permitir o retorno de vegetação e animais endêmicos.</w:t>
      </w:r>
    </w:p>
    <w:p w14:paraId="44DC8A78" w14:textId="768F0D6C" w:rsidR="0087588E" w:rsidRPr="006E6F31" w:rsidRDefault="0087588E" w:rsidP="0087588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Uma subvenção que implica a supervisão de equipes que realizam controle de espécies aquáticas invasoras por meios químicos, onde tais equipes trabalham com financiamento de um governo do país anfitrião ou outro doador.</w:t>
      </w:r>
    </w:p>
    <w:p w14:paraId="5BB90478" w14:textId="052D154B" w:rsidR="0087588E" w:rsidRPr="006E6F31" w:rsidRDefault="0087588E" w:rsidP="0087588E">
      <w:pPr>
        <w:pStyle w:val="ListParagraph"/>
        <w:numPr>
          <w:ilvl w:val="0"/>
          <w:numId w:val="23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Uma subvenção que implica a erradicação por meios químicos de ratos, gatos, répteis não-</w:t>
      </w:r>
      <w:r w:rsidR="009617C5" w:rsidRPr="006E6F31">
        <w:rPr>
          <w:rFonts w:ascii="Verdana" w:hAnsi="Verdana"/>
          <w:sz w:val="20"/>
          <w:szCs w:val="20"/>
          <w:lang w:val="pt-BR"/>
        </w:rPr>
        <w:t xml:space="preserve">endêmicos </w:t>
      </w:r>
      <w:r w:rsidRPr="006E6F31">
        <w:rPr>
          <w:rFonts w:ascii="Verdana" w:hAnsi="Verdana"/>
          <w:sz w:val="20"/>
          <w:szCs w:val="20"/>
          <w:lang w:val="pt-BR"/>
        </w:rPr>
        <w:t>(Ex. cobra-arbórea-marrom), aves (Ex. Acridotheres tristis) e invertebrados (Ex. ampulária-dourada) de uma ilha ou habitat natural isolado.</w:t>
      </w:r>
    </w:p>
    <w:p w14:paraId="63ED587E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2368BF01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 xml:space="preserve">Estas diretrizes </w:t>
      </w: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t>não</w:t>
      </w:r>
      <w:r w:rsidRPr="006E6F31">
        <w:rPr>
          <w:rFonts w:ascii="Verdana" w:hAnsi="Verdana"/>
          <w:sz w:val="20"/>
          <w:szCs w:val="20"/>
          <w:lang w:val="pt-BR"/>
        </w:rPr>
        <w:t xml:space="preserve"> se aplicam à remoção física de plantas exóticas invasoras e animais através de meios físicos como parte da restauração de habitats degradados ou a manutenção de KBAs e corredores.</w:t>
      </w:r>
    </w:p>
    <w:p w14:paraId="04744C0E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7C965B85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lastRenderedPageBreak/>
        <w:t>Um conjunto único de diretrizes não pode prever todos os cenários em que um beneficiário irá propor a remoção de espécies exóticas invasoras.  As condições de habitat, o tipo de espécie, o método de controle, a capacidade da organização, o conhecimento mais recente sobre os impactos ambientais e até mesmo as definições de "melhores práticas" mudarão ao longo do tempo.  Desta forma, estas diretrizes estabelecem um processo que o beneficiário deve seguir, em vez de um conjunto específico de medidas de controle de espécies aquáticas invasoras.</w:t>
      </w:r>
    </w:p>
    <w:p w14:paraId="2F42047D" w14:textId="1E823B63" w:rsidR="0087588E" w:rsidRPr="00F85B67" w:rsidRDefault="00F85B67" w:rsidP="0087588E">
      <w:pPr>
        <w:pStyle w:val="Heading2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sz w:val="20"/>
          <w:szCs w:val="20"/>
          <w:lang w:val="pt-BR"/>
        </w:rPr>
        <w:br/>
      </w:r>
      <w:r w:rsidRPr="00F85B67">
        <w:rPr>
          <w:rFonts w:ascii="Verdana" w:hAnsi="Verdana"/>
          <w:color w:val="000000" w:themeColor="text1"/>
          <w:sz w:val="22"/>
          <w:szCs w:val="22"/>
          <w:lang w:val="pt-BR"/>
        </w:rPr>
        <w:t>COMPONENTES DO PLANO DE MANEJO DE PRAGAS</w:t>
      </w:r>
    </w:p>
    <w:p w14:paraId="12B2FCF7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779F4321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Qualquer projeto CEPF que propõe usar um pesticida deve preparar um plano de manejo de pragas com seis seções, descritas a seguir.  Estes projetos devem beneficiar-se do conhecimento acumulado sobre a utilização de pesticidas na erradicação de espécies invasoras, incluindo aquelas que estão disponíveis em:</w:t>
      </w:r>
    </w:p>
    <w:p w14:paraId="33DF3A0E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15C308AD" w14:textId="0241CA9A" w:rsidR="0087588E" w:rsidRPr="006E6F31" w:rsidRDefault="0087588E" w:rsidP="0087588E">
      <w:pPr>
        <w:numPr>
          <w:ilvl w:val="0"/>
          <w:numId w:val="1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O Grupo de Especialistas em Espécies Invasoras da UICN (http://www.issg.org), que oferece dezenas de recursos, incluindo a Lista de Espécies Exóticas Invasoras do Sistema de Informação Online da Rede Global de Informação sobre Espécies Exóticas Invasoras (www.gisin.org).</w:t>
      </w:r>
    </w:p>
    <w:p w14:paraId="52DB0BC7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385FAB22" w14:textId="77777777" w:rsidR="0087588E" w:rsidRPr="006E6F31" w:rsidRDefault="0087588E" w:rsidP="0087588E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A Classificação de Pesticidas Segundo o Grau de Perigo da Organização Mundial da Saúde, atualizado a cada dois anos (http://www.who.int/ipcs/publications/pesticides_hazard/en/).</w:t>
      </w:r>
    </w:p>
    <w:p w14:paraId="49350906" w14:textId="77777777" w:rsidR="0087588E" w:rsidRPr="006E6F31" w:rsidRDefault="0087588E" w:rsidP="0087588E">
      <w:pPr>
        <w:ind w:left="360"/>
        <w:rPr>
          <w:rFonts w:ascii="Verdana" w:hAnsi="Verdana"/>
          <w:bCs/>
          <w:iCs/>
          <w:sz w:val="20"/>
          <w:szCs w:val="20"/>
          <w:lang w:val="pt-BR"/>
        </w:rPr>
      </w:pPr>
    </w:p>
    <w:p w14:paraId="12A80492" w14:textId="77777777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O plano de manejo de pragas consiste em seis seções, compostas por 35 perguntas.</w:t>
      </w:r>
    </w:p>
    <w:p w14:paraId="52C42343" w14:textId="2D9686EF" w:rsidR="0087588E" w:rsidRPr="006E6F31" w:rsidRDefault="0087588E">
      <w:pPr>
        <w:rPr>
          <w:rFonts w:ascii="Verdana" w:hAnsi="Verdana"/>
          <w:bCs/>
          <w:iCs/>
          <w:sz w:val="20"/>
          <w:szCs w:val="20"/>
          <w:lang w:val="pt-BR"/>
        </w:rPr>
      </w:pPr>
    </w:p>
    <w:p w14:paraId="4989B375" w14:textId="19FE31A0" w:rsidR="00C76204" w:rsidRPr="006E6F31" w:rsidRDefault="00C76204" w:rsidP="00C76204">
      <w:pPr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42B65B7B" w14:textId="77777777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68E05E90" w14:textId="47C2755B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0298B533" w14:textId="0A1D00AC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6E6F31">
        <w:rPr>
          <w:rFonts w:ascii="Verdana" w:hAnsi="Verdana"/>
          <w:i/>
          <w:sz w:val="20"/>
          <w:szCs w:val="20"/>
          <w:lang w:val="pt-BR"/>
        </w:rPr>
        <w:t>.</w:t>
      </w:r>
    </w:p>
    <w:p w14:paraId="376C14CF" w14:textId="15AF8D72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48671448" w14:textId="0AD2026B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3581D8C9" w14:textId="77777777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51666D90" w14:textId="77777777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Resumo do projeto.</w:t>
      </w:r>
    </w:p>
    <w:p w14:paraId="6185FF48" w14:textId="77777777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Nome completo, título, números de telefone e endereço de e-mail do pessoal do beneficiário responsável por este plano.</w:t>
      </w:r>
    </w:p>
    <w:p w14:paraId="6C9F626B" w14:textId="77777777" w:rsidR="00C76204" w:rsidRPr="006E6F3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Data de preparação do presente documento</w:t>
      </w:r>
    </w:p>
    <w:p w14:paraId="398F86FA" w14:textId="77777777" w:rsidR="00C76204" w:rsidRPr="006E6F31" w:rsidRDefault="00C76204" w:rsidP="00C76204">
      <w:pPr>
        <w:rPr>
          <w:rFonts w:ascii="Verdana" w:hAnsi="Verdana"/>
          <w:sz w:val="20"/>
          <w:szCs w:val="20"/>
          <w:lang w:val="pt-BR"/>
        </w:rPr>
      </w:pPr>
    </w:p>
    <w:p w14:paraId="5239F212" w14:textId="02C34A81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t>Abordagem do manejo de pragas:</w:t>
      </w:r>
      <w:r w:rsidRPr="006E6F31">
        <w:rPr>
          <w:rFonts w:ascii="Verdana" w:hAnsi="Verdana"/>
          <w:sz w:val="20"/>
          <w:szCs w:val="20"/>
          <w:lang w:val="pt-BR"/>
        </w:rPr>
        <w:t xml:space="preserve"> Esta seção deve descrever a compreensão do candidato sobre o problema, sua experiência com questões de manejo de pragas e as medidas propostas durante o projeto. Especificamente, o que você pretende fazer e como irá fazê-lo?  As informações apresentadas devem incluir métodos de aplicação, por exemplo manualmente ou através de pulverização aérea.</w:t>
      </w:r>
    </w:p>
    <w:p w14:paraId="140880CC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b/>
          <w:sz w:val="20"/>
          <w:szCs w:val="20"/>
          <w:lang w:val="pt-BR"/>
        </w:rPr>
        <w:tab/>
      </w:r>
    </w:p>
    <w:p w14:paraId="2541C6F0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Problemas de pragas atuais e antecipados relevantes ao projeto.</w:t>
      </w:r>
    </w:p>
    <w:p w14:paraId="67799AD6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Práticas de manejo de pragas atuais e propostas.</w:t>
      </w:r>
    </w:p>
    <w:p w14:paraId="3F35DFAE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Experiência pertinente no manejo integrado de pragas dentro da área do projeto, país ou região.</w:t>
      </w:r>
    </w:p>
    <w:p w14:paraId="10D2EB2F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Avaliação da abordagem de manejo de pragas atual ou proposta e recomendações de ajuste, caso for necessário.</w:t>
      </w:r>
    </w:p>
    <w:p w14:paraId="06951CCE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217EBD31" w14:textId="190DFBE0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lastRenderedPageBreak/>
        <w:t>Seleção de pesticidas e uso</w:t>
      </w:r>
      <w:r w:rsidRPr="00F85B67">
        <w:rPr>
          <w:rFonts w:ascii="Verdana" w:hAnsi="Verdana"/>
          <w:b/>
          <w:bCs/>
          <w:sz w:val="20"/>
          <w:szCs w:val="20"/>
          <w:u w:val="single"/>
          <w:lang w:val="pt-BR"/>
        </w:rPr>
        <w:t>:</w:t>
      </w:r>
      <w:r w:rsidRPr="006E6F31">
        <w:rPr>
          <w:rFonts w:ascii="Verdana" w:hAnsi="Verdana"/>
          <w:sz w:val="20"/>
          <w:szCs w:val="20"/>
          <w:lang w:val="pt-BR"/>
        </w:rPr>
        <w:t xml:space="preserve"> Esta seção visa obter uma compreensão abrangente do pesticida que será selecionado, o porquê da sua seleção e os esforços realizados para avaliar o risco.  Observe que nesta seção os candidatos também deverão apresentar as informações sobre o risco potencial que o pesticida selecionado terá em espécies não-alvo.</w:t>
      </w:r>
    </w:p>
    <w:p w14:paraId="162CB6AD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4C68D553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do uso presente, proposto e/ou previsto de pesticidas e avaliação de se tal uso está em consonância com as melhores práticas de manejo.</w:t>
      </w:r>
    </w:p>
    <w:p w14:paraId="6CCCC01E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Indicação do tipo e quantidade de pesticidas previstos no financiamento do projeto (em volume e valor em dólares) e/ou avaliação do aumento do uso de pesticidas resultantes do projeto.</w:t>
      </w:r>
    </w:p>
    <w:p w14:paraId="05F33F7B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Nome químico, comercial e nome comum do pesticida a ser usado.</w:t>
      </w:r>
    </w:p>
    <w:p w14:paraId="5FD6F978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Forma em que o pesticida será usado (Ex. grânulo, spray).</w:t>
      </w:r>
    </w:p>
    <w:p w14:paraId="552D5BBE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geográfica específica de onde o pesticida será aplicado:  nome do estado, distrito, município, proprietários de terra ou coordenadas de mapa (se disponível); e a área total (hectares) na qual será aplicada o pesticida.</w:t>
      </w:r>
    </w:p>
    <w:p w14:paraId="4825581F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Avaliação dos riscos ambientais, ocupacionais e de saúde pública associados ao transporte, armazenamento, manipulação e uso dos produtos propostos sob circunstâncias locais e o descarte de embalagens vazias.</w:t>
      </w:r>
    </w:p>
    <w:p w14:paraId="5BB27DC5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dos planos e resultados de controle de danos e/ou mortes de espécies não-alvo, antes da aplicação de pesticidas e na sequência da sua aplicação.</w:t>
      </w:r>
    </w:p>
    <w:p w14:paraId="698FC69B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 xml:space="preserve">Pré-requisitos e / ou medidas necessárias para reduzir os riscos específicos associados à utilização prevista de pesticidas no âmbito do projeto (Ex. equipamento de proteção, formação, melhoramento das instalações de </w:t>
      </w:r>
      <w:proofErr w:type="gramStart"/>
      <w:r w:rsidRPr="006E6F31">
        <w:rPr>
          <w:rFonts w:ascii="Verdana" w:hAnsi="Verdana"/>
          <w:sz w:val="20"/>
          <w:szCs w:val="20"/>
          <w:lang w:val="pt-BR"/>
        </w:rPr>
        <w:t>armazenamento, etc.</w:t>
      </w:r>
      <w:proofErr w:type="gramEnd"/>
      <w:r w:rsidRPr="006E6F31">
        <w:rPr>
          <w:rFonts w:ascii="Verdana" w:hAnsi="Verdana"/>
          <w:sz w:val="20"/>
          <w:szCs w:val="20"/>
          <w:lang w:val="pt-BR"/>
        </w:rPr>
        <w:t>).</w:t>
      </w:r>
    </w:p>
    <w:p w14:paraId="4BC3128E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Base de seleção de pesticidas autorizados para aquisição no âmbito do projeto, levando em consideração as normas da OMS e do Banco Mundial, os riscos e perigos acima mencionados e a disponibilidade de produtos e técnicas mais recentes e menos perigosos (Ex. biopesticidas, armadilhas).</w:t>
      </w:r>
    </w:p>
    <w:p w14:paraId="15ABC128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Nome e endereço da fonte dos pesticidas selecionados.</w:t>
      </w:r>
    </w:p>
    <w:p w14:paraId="791DE0C3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Nome e endereço do fornecedor dos pesticidas selecionados.</w:t>
      </w:r>
    </w:p>
    <w:p w14:paraId="0A4492C0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Nome e endereço da instalação onde os pesticidas serão armazenados.</w:t>
      </w:r>
    </w:p>
    <w:p w14:paraId="03BE979C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41CAF691" w14:textId="732031CD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t>Política, Quadro Normativo e Capacidade Institucional:</w:t>
      </w:r>
      <w:r w:rsidRPr="006E6F31">
        <w:rPr>
          <w:rFonts w:ascii="Verdana" w:hAnsi="Verdana"/>
          <w:sz w:val="20"/>
          <w:szCs w:val="20"/>
          <w:lang w:val="pt-BR"/>
        </w:rPr>
        <w:t xml:space="preserve"> Esta seção tem como objetivo compreender o quadro institucional e legal sob o qual o pesticida será aplicado, com referência à documentação e padrões exigidos pelas leis locais e nacionais e as boas práticas internacionais. Quando o pesticida específico não for </w:t>
      </w:r>
      <w:r w:rsidR="00F16AD7" w:rsidRPr="006E6F31">
        <w:rPr>
          <w:rFonts w:ascii="Verdana" w:hAnsi="Verdana"/>
          <w:sz w:val="20"/>
          <w:szCs w:val="20"/>
          <w:lang w:val="pt-BR"/>
        </w:rPr>
        <w:t xml:space="preserve">regulamentado </w:t>
      </w:r>
      <w:r w:rsidRPr="006E6F31">
        <w:rPr>
          <w:rFonts w:ascii="Verdana" w:hAnsi="Verdana"/>
          <w:sz w:val="20"/>
          <w:szCs w:val="20"/>
          <w:lang w:val="pt-BR"/>
        </w:rPr>
        <w:t xml:space="preserve">na área-alvo, o proponente deverá identificar pesticidas similares e a regulamentação aplicável, as leis internacionais dos países vizinhos que poderiam ser aplicadas e as boas práticas internacionais. O proponente também deverá explicar </w:t>
      </w:r>
      <w:proofErr w:type="gramStart"/>
      <w:r w:rsidRPr="006E6F31">
        <w:rPr>
          <w:rFonts w:ascii="Verdana" w:hAnsi="Verdana"/>
          <w:sz w:val="20"/>
          <w:szCs w:val="20"/>
          <w:lang w:val="pt-BR"/>
        </w:rPr>
        <w:t>porquê</w:t>
      </w:r>
      <w:proofErr w:type="gramEnd"/>
      <w:r w:rsidRPr="006E6F31">
        <w:rPr>
          <w:rFonts w:ascii="Verdana" w:hAnsi="Verdana"/>
          <w:sz w:val="20"/>
          <w:szCs w:val="20"/>
          <w:lang w:val="pt-BR"/>
        </w:rPr>
        <w:t xml:space="preserve"> esse pesticida é necessário mesmo na ausência de leis nacionais. </w:t>
      </w:r>
    </w:p>
    <w:p w14:paraId="2261E9AD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214E52E3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Políticas de proteção de plantas / animais, manejo integrado de pragas e tratamento humanizado de animais.</w:t>
      </w:r>
    </w:p>
    <w:p w14:paraId="54CE9B6A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e avaliação da capacidade nacional para desenvolver e implementar controles ecológicos de espécies exóticas invasoras.</w:t>
      </w:r>
    </w:p>
    <w:p w14:paraId="152D2041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e avaliação do quadro normativo e da capacidade institucional do país para o controle da distribuição e utilização de pesticidas.</w:t>
      </w:r>
    </w:p>
    <w:p w14:paraId="7F3B22EB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 xml:space="preserve">Atividades do projeto propostas para capacitar o pessoal e fortalecer as capacidades (fazer uma lista do número de pessoas e o do tipo de formação que estão recebendo). </w:t>
      </w:r>
    </w:p>
    <w:p w14:paraId="1AB79240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Confirmação de que as autoridades competentes foram abordadas (quem e quando) e que as licenças e autorizações apropriadas foram obtidas para o projeto.</w:t>
      </w:r>
    </w:p>
    <w:p w14:paraId="0F7264EA" w14:textId="77777777" w:rsidR="0087588E" w:rsidRPr="006E6F31" w:rsidRDefault="0087588E" w:rsidP="0087588E">
      <w:pPr>
        <w:rPr>
          <w:rFonts w:ascii="Verdana" w:hAnsi="Verdana"/>
          <w:b/>
          <w:sz w:val="20"/>
          <w:szCs w:val="20"/>
          <w:u w:val="single"/>
          <w:lang w:val="pt-BR"/>
        </w:rPr>
      </w:pPr>
    </w:p>
    <w:p w14:paraId="3296194F" w14:textId="77777777" w:rsidR="0087588E" w:rsidRPr="006E6F31" w:rsidRDefault="0087588E" w:rsidP="0087588E">
      <w:pPr>
        <w:rPr>
          <w:rFonts w:ascii="Verdana" w:hAnsi="Verdana"/>
          <w:b/>
          <w:sz w:val="20"/>
          <w:szCs w:val="20"/>
          <w:u w:val="single"/>
          <w:lang w:val="pt-BR"/>
        </w:rPr>
      </w:pP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t>Consulta:</w:t>
      </w:r>
      <w:r w:rsidRPr="006E6F31">
        <w:rPr>
          <w:rFonts w:ascii="Verdana" w:hAnsi="Verdana"/>
          <w:sz w:val="20"/>
          <w:szCs w:val="20"/>
          <w:lang w:val="pt-BR"/>
        </w:rPr>
        <w:t xml:space="preserve"> Esta seção pretende delinear o âmbito das consultas informadas que o beneficiário realizou tanto com especialistas para otimizar o potencial de sucesso quanto </w:t>
      </w:r>
      <w:r w:rsidRPr="006E6F31">
        <w:rPr>
          <w:rFonts w:ascii="Verdana" w:hAnsi="Verdana"/>
          <w:sz w:val="20"/>
          <w:szCs w:val="20"/>
          <w:lang w:val="pt-BR"/>
        </w:rPr>
        <w:lastRenderedPageBreak/>
        <w:t>com as partes interessadas, particularmente as comunidades locais, potencialmente afetadas (pela sua proximidade, pelo uso de certas áreas para a pastagem de gado ou coleta de produtos florestais não-</w:t>
      </w:r>
      <w:proofErr w:type="gramStart"/>
      <w:r w:rsidRPr="006E6F31">
        <w:rPr>
          <w:rFonts w:ascii="Verdana" w:hAnsi="Verdana"/>
          <w:sz w:val="20"/>
          <w:szCs w:val="20"/>
          <w:lang w:val="pt-BR"/>
        </w:rPr>
        <w:t>madeireiros, etc.</w:t>
      </w:r>
      <w:proofErr w:type="gramEnd"/>
      <w:r w:rsidRPr="006E6F31">
        <w:rPr>
          <w:rFonts w:ascii="Verdana" w:hAnsi="Verdana"/>
          <w:sz w:val="20"/>
          <w:szCs w:val="20"/>
          <w:lang w:val="pt-BR"/>
        </w:rPr>
        <w:t>) pelo uso de pesticidas.</w:t>
      </w:r>
    </w:p>
    <w:p w14:paraId="4355BD4C" w14:textId="77777777" w:rsidR="0087588E" w:rsidRPr="006E6F31" w:rsidRDefault="0087588E" w:rsidP="0087588E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Planos, datas e resultados das consultas com especialistas, se for necessário.</w:t>
      </w:r>
    </w:p>
    <w:p w14:paraId="4B4BDF08" w14:textId="77777777" w:rsidR="0087588E" w:rsidRPr="006E6F31" w:rsidRDefault="0087588E" w:rsidP="0087588E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Planos, datas e resultados das consultas com as comunidades locais.</w:t>
      </w:r>
    </w:p>
    <w:p w14:paraId="38B80841" w14:textId="77777777" w:rsidR="0087588E" w:rsidRPr="006E6F31" w:rsidRDefault="0087588E" w:rsidP="0087588E">
      <w:pPr>
        <w:pStyle w:val="ListParagraph"/>
        <w:ind w:left="360"/>
        <w:rPr>
          <w:rFonts w:ascii="Verdana" w:hAnsi="Verdana"/>
          <w:sz w:val="20"/>
          <w:szCs w:val="20"/>
          <w:lang w:val="pt-BR"/>
        </w:rPr>
      </w:pPr>
    </w:p>
    <w:p w14:paraId="072170FF" w14:textId="48847F04" w:rsidR="0087588E" w:rsidRPr="006E6F31" w:rsidRDefault="0087588E" w:rsidP="0087588E">
      <w:pPr>
        <w:rPr>
          <w:rFonts w:ascii="Verdana" w:hAnsi="Verdana"/>
          <w:bCs/>
          <w:iCs/>
          <w:sz w:val="20"/>
          <w:szCs w:val="20"/>
          <w:lang w:val="pt-BR"/>
        </w:rPr>
      </w:pPr>
      <w:r w:rsidRPr="006E6F31">
        <w:rPr>
          <w:rFonts w:ascii="Verdana" w:hAnsi="Verdana"/>
          <w:b/>
          <w:sz w:val="20"/>
          <w:szCs w:val="20"/>
          <w:u w:val="single"/>
          <w:lang w:val="pt-BR"/>
        </w:rPr>
        <w:t>Monitoramento e Avaliação</w:t>
      </w:r>
      <w:r w:rsidRPr="00F85B67">
        <w:rPr>
          <w:rFonts w:ascii="Verdana" w:hAnsi="Verdana"/>
          <w:b/>
          <w:bCs/>
          <w:sz w:val="20"/>
          <w:szCs w:val="20"/>
          <w:u w:val="single"/>
          <w:lang w:val="pt-BR"/>
        </w:rPr>
        <w:t>:</w:t>
      </w:r>
      <w:r w:rsidRPr="006E6F31">
        <w:rPr>
          <w:rFonts w:ascii="Verdana" w:hAnsi="Verdana"/>
          <w:sz w:val="20"/>
          <w:szCs w:val="20"/>
          <w:lang w:val="pt-BR"/>
        </w:rPr>
        <w:t xml:space="preserve"> Esta seção pretende esboçar as etapas que o proponente tomará para monitorar e avaliar a compra, armazenamento, aplicação e efeitos do pesticida na área-alvo.</w:t>
      </w:r>
    </w:p>
    <w:p w14:paraId="28F88FC6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62B06E0D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Descrição das atividades relacionadas ao manejo de pragas que requerem monitoramento durante a implementação.</w:t>
      </w:r>
    </w:p>
    <w:p w14:paraId="257AE1BC" w14:textId="77777777" w:rsidR="0087588E" w:rsidRPr="006E6F31" w:rsidRDefault="0087588E" w:rsidP="0087588E">
      <w:pPr>
        <w:pStyle w:val="ListParagraph"/>
        <w:numPr>
          <w:ilvl w:val="0"/>
          <w:numId w:val="46"/>
        </w:numPr>
        <w:contextualSpacing w:val="0"/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Plano de monitoramento e supervisão, responsabilidades de implementação, conhecimento necessário e cobertura de custos.</w:t>
      </w:r>
    </w:p>
    <w:p w14:paraId="7632AA2F" w14:textId="77777777" w:rsidR="0087588E" w:rsidRPr="006E6F31" w:rsidRDefault="0087588E" w:rsidP="0087588E">
      <w:pPr>
        <w:rPr>
          <w:rFonts w:ascii="Verdana" w:hAnsi="Verdana"/>
          <w:sz w:val="20"/>
          <w:szCs w:val="20"/>
          <w:lang w:val="pt-BR"/>
        </w:rPr>
      </w:pPr>
    </w:p>
    <w:p w14:paraId="3C8C083B" w14:textId="77777777" w:rsidR="00FD132B" w:rsidRPr="006E6F31" w:rsidRDefault="00C76204" w:rsidP="00FD132B">
      <w:pPr>
        <w:rPr>
          <w:rFonts w:ascii="Verdana" w:hAnsi="Verdana"/>
          <w:noProof/>
          <w:sz w:val="20"/>
          <w:szCs w:val="20"/>
        </w:rPr>
      </w:pPr>
      <w:r w:rsidRPr="006E6F31">
        <w:rPr>
          <w:rFonts w:ascii="Verdana" w:hAnsi="Verdana"/>
          <w:b/>
          <w:bCs/>
          <w:sz w:val="20"/>
          <w:szCs w:val="20"/>
          <w:u w:val="single"/>
          <w:lang w:val="pt-BR"/>
        </w:rPr>
        <w:t>Mecanismo de Reclamação:</w:t>
      </w:r>
      <w:r w:rsidRPr="006E6F31">
        <w:rPr>
          <w:rFonts w:ascii="Verdana" w:hAnsi="Verdana"/>
          <w:b/>
          <w:bCs/>
          <w:sz w:val="20"/>
          <w:szCs w:val="20"/>
          <w:lang w:val="pt-BR"/>
        </w:rPr>
        <w:t xml:space="preserve"> </w:t>
      </w:r>
      <w:r w:rsidR="00FD132B" w:rsidRPr="006E6F31">
        <w:rPr>
          <w:rFonts w:ascii="Verdana" w:hAnsi="Verdana"/>
          <w:noProof/>
          <w:sz w:val="20"/>
          <w:szCs w:val="20"/>
        </w:rPr>
        <w:t>Todos os projetos que ativam uma salvaguarda devem fornecer às comunidades locais e outras partes interessadas relevantes um meio de levantar uma reclamação junto ao beneficiário, a Equipe de Implementação Regional relevante, o Secretaria do CEPF ou o Banco Mundial.</w:t>
      </w:r>
    </w:p>
    <w:p w14:paraId="63248198" w14:textId="77777777" w:rsidR="00FD132B" w:rsidRPr="006E6F31" w:rsidRDefault="00FD132B" w:rsidP="00FD132B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0A8C8CF9" w14:textId="77777777" w:rsidR="00FD132B" w:rsidRPr="006E6F31" w:rsidRDefault="00FD132B" w:rsidP="00FD132B">
      <w:pPr>
        <w:pStyle w:val="ListParagraph"/>
        <w:rPr>
          <w:rFonts w:ascii="Verdana" w:hAnsi="Verdana"/>
          <w:noProof/>
          <w:sz w:val="20"/>
          <w:szCs w:val="20"/>
        </w:rPr>
      </w:pPr>
      <w:r w:rsidRPr="006E6F31">
        <w:rPr>
          <w:rFonts w:ascii="Verdana" w:hAnsi="Verdana"/>
          <w:noProof/>
          <w:sz w:val="20"/>
          <w:szCs w:val="20"/>
        </w:rPr>
        <w:t>Este mecanismo de reclamação deve incluir, no mínimo, os seguintes elementos:</w:t>
      </w:r>
      <w:r w:rsidRPr="006E6F31">
        <w:rPr>
          <w:rFonts w:ascii="Verdana" w:hAnsi="Verdana"/>
          <w:noProof/>
          <w:sz w:val="20"/>
          <w:szCs w:val="20"/>
        </w:rPr>
        <w:br/>
        <w:t> </w:t>
      </w:r>
      <w:r w:rsidRPr="006E6F31">
        <w:rPr>
          <w:rFonts w:ascii="Verdana" w:hAnsi="Verdana"/>
          <w:noProof/>
          <w:sz w:val="20"/>
          <w:szCs w:val="20"/>
        </w:rPr>
        <w:br/>
        <w:t>• E-mail e telefone para a organização do beneficiário,</w:t>
      </w:r>
      <w:r w:rsidRPr="006E6F31">
        <w:rPr>
          <w:rFonts w:ascii="Verdana" w:hAnsi="Verdana"/>
          <w:noProof/>
          <w:sz w:val="20"/>
          <w:szCs w:val="20"/>
        </w:rPr>
        <w:br/>
        <w:t>• E-mail e telefone para a Equipe de Implementação Regional do CEPF,</w:t>
      </w:r>
      <w:r w:rsidRPr="006E6F31">
        <w:rPr>
          <w:rFonts w:ascii="Verdana" w:hAnsi="Verdana"/>
          <w:noProof/>
          <w:sz w:val="20"/>
          <w:szCs w:val="20"/>
        </w:rPr>
        <w:br/>
        <w:t>• E-mail e telefone para o escritório local do Banco Mundial,</w:t>
      </w:r>
      <w:r w:rsidRPr="006E6F31">
        <w:rPr>
          <w:rFonts w:ascii="Verdana" w:hAnsi="Verdana"/>
          <w:noProof/>
          <w:sz w:val="20"/>
          <w:szCs w:val="20"/>
        </w:rPr>
        <w:br/>
        <w:t>• O e-mail do Diretor Executivo do CEPF: </w:t>
      </w:r>
      <w:hyperlink r:id="rId11" w:history="1">
        <w:r w:rsidRPr="006E6F31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6E6F31">
        <w:rPr>
          <w:rFonts w:ascii="Verdana" w:hAnsi="Verdana"/>
          <w:noProof/>
          <w:sz w:val="20"/>
          <w:szCs w:val="20"/>
        </w:rPr>
        <w:t>,</w:t>
      </w:r>
      <w:r w:rsidRPr="006E6F31">
        <w:rPr>
          <w:rFonts w:ascii="Verdana" w:hAnsi="Verdana"/>
          <w:noProof/>
          <w:sz w:val="20"/>
          <w:szCs w:val="20"/>
        </w:rPr>
        <w:br/>
        <w:t>• Uma declaração descrevendo como as partes interessadas serão informadas sobre os objetivos do projeto e a existência do mecanismo de reclamação (por exemplo, por meio de cartazes, letreiros, avisos públicos, anúncios públicos, em idiomas locais).</w:t>
      </w:r>
      <w:r w:rsidRPr="006E6F31">
        <w:rPr>
          <w:rFonts w:ascii="Verdana" w:hAnsi="Verdana"/>
          <w:noProof/>
          <w:sz w:val="20"/>
          <w:szCs w:val="20"/>
        </w:rPr>
        <w:br/>
        <w:t>• Deverá incluir o seguinte texto, exatamente, em qualquer mecanismo de reclamação: “Nós compartilharemos todas as reclamações - e uma resposta proposta - com a Equipe de Implementação Regional e o Diretor de Subsídio do CEPF dentro de 15 dias. Se os requerentes não estiver satisfeito após a resposta, eles podem enviar a reclamação diretamente ao Diretor Executivo do CEPF em </w:t>
      </w:r>
      <w:hyperlink r:id="rId12" w:history="1">
        <w:r w:rsidRPr="006E6F31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6E6F31">
        <w:rPr>
          <w:rFonts w:ascii="Verdana" w:hAnsi="Verdana"/>
          <w:noProof/>
          <w:sz w:val="20"/>
          <w:szCs w:val="20"/>
        </w:rPr>
        <w:t> ou pelo correio.</w:t>
      </w:r>
      <w:r w:rsidRPr="006E6F31">
        <w:rPr>
          <w:rFonts w:ascii="Verdana" w:hAnsi="Verdana"/>
          <w:noProof/>
          <w:sz w:val="20"/>
          <w:szCs w:val="20"/>
        </w:rPr>
        <w:br/>
        <w:t> </w:t>
      </w:r>
      <w:r w:rsidRPr="006E6F31">
        <w:rPr>
          <w:rFonts w:ascii="Verdana" w:hAnsi="Verdana"/>
          <w:noProof/>
          <w:sz w:val="20"/>
          <w:szCs w:val="20"/>
        </w:rPr>
        <w:br/>
        <w:t>Se o requerente não estiver satisfeito com a resposta do Diretor Executivo do CEPF, eles podem enviar a reclamação ao Banco Mundial no escritório local do Banco Mundial”.</w:t>
      </w:r>
    </w:p>
    <w:p w14:paraId="4D08DD62" w14:textId="77777777" w:rsidR="00FD132B" w:rsidRPr="006E6F31" w:rsidRDefault="00FD132B" w:rsidP="00FD132B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7245DCD6" w14:textId="6C9FED41" w:rsidR="004558AF" w:rsidRPr="006E6F31" w:rsidRDefault="00FD132B" w:rsidP="00FD132B">
      <w:pPr>
        <w:pStyle w:val="ListParagraph"/>
        <w:numPr>
          <w:ilvl w:val="0"/>
          <w:numId w:val="46"/>
        </w:numPr>
        <w:rPr>
          <w:rFonts w:ascii="Verdana" w:hAnsi="Verdana"/>
          <w:sz w:val="20"/>
          <w:szCs w:val="20"/>
          <w:lang w:val="pt-BR"/>
        </w:rPr>
      </w:pPr>
      <w:r w:rsidRPr="006E6F31">
        <w:rPr>
          <w:rFonts w:ascii="Verdana" w:hAnsi="Verdana"/>
          <w:sz w:val="20"/>
          <w:szCs w:val="20"/>
          <w:lang w:val="pt-BR"/>
        </w:rPr>
        <w:t>Descreva o mecanismo de reclamações que você usará para seu projeto e como irá garantir que os interessados estejam cientes da sua existência.</w:t>
      </w:r>
    </w:p>
    <w:p w14:paraId="7D35EFA1" w14:textId="77777777" w:rsidR="00A15FF1" w:rsidRPr="006E6F31" w:rsidRDefault="00A15FF1" w:rsidP="00A15FF1">
      <w:pPr>
        <w:rPr>
          <w:rFonts w:ascii="Verdana" w:hAnsi="Verdana"/>
          <w:sz w:val="20"/>
          <w:szCs w:val="20"/>
          <w:lang w:val="pt-BR"/>
        </w:rPr>
      </w:pPr>
    </w:p>
    <w:p w14:paraId="1936F74A" w14:textId="77777777" w:rsidR="00A15FF1" w:rsidRPr="006E6F31" w:rsidRDefault="00A15FF1" w:rsidP="00A15FF1">
      <w:pPr>
        <w:rPr>
          <w:rFonts w:ascii="Verdana" w:hAnsi="Verdana"/>
          <w:sz w:val="20"/>
          <w:szCs w:val="20"/>
          <w:lang w:val="pt-BR"/>
        </w:rPr>
      </w:pPr>
    </w:p>
    <w:sectPr w:rsidR="00A15FF1" w:rsidRPr="006E6F31" w:rsidSect="00237F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3DF8" w14:textId="77777777" w:rsidR="00F26EED" w:rsidRDefault="00F26EED" w:rsidP="004E6F4D">
      <w:r>
        <w:separator/>
      </w:r>
    </w:p>
  </w:endnote>
  <w:endnote w:type="continuationSeparator" w:id="0">
    <w:p w14:paraId="137BE91B" w14:textId="77777777" w:rsidR="00F26EED" w:rsidRDefault="00F26EED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3F41E" w14:textId="7C90B957" w:rsidR="005232B4" w:rsidRPr="00F85B67" w:rsidRDefault="00AA2DE2" w:rsidP="00F85B67">
    <w:pPr>
      <w:pStyle w:val="Footer"/>
      <w:jc w:val="right"/>
      <w:rPr>
        <w:rFonts w:ascii="Verdana" w:hAnsi="Verdana"/>
        <w:sz w:val="18"/>
        <w:szCs w:val="18"/>
      </w:rPr>
    </w:pPr>
    <w:r w:rsidRPr="00F85B67">
      <w:rPr>
        <w:rFonts w:ascii="Verdana" w:hAnsi="Verdana"/>
        <w:sz w:val="18"/>
        <w:szCs w:val="18"/>
      </w:rPr>
      <w:fldChar w:fldCharType="begin"/>
    </w:r>
    <w:r w:rsidRPr="00F85B67">
      <w:rPr>
        <w:rFonts w:ascii="Verdana" w:hAnsi="Verdana"/>
        <w:sz w:val="18"/>
        <w:szCs w:val="18"/>
      </w:rPr>
      <w:instrText xml:space="preserve"> PAGE   \* MERGEFORMAT </w:instrText>
    </w:r>
    <w:r w:rsidRPr="00F85B67">
      <w:rPr>
        <w:rFonts w:ascii="Verdana" w:hAnsi="Verdana"/>
        <w:sz w:val="18"/>
        <w:szCs w:val="18"/>
      </w:rPr>
      <w:fldChar w:fldCharType="separate"/>
    </w:r>
    <w:r w:rsidR="00D233CA" w:rsidRPr="00F85B67">
      <w:rPr>
        <w:rFonts w:ascii="Verdana" w:hAnsi="Verdana"/>
        <w:noProof/>
        <w:sz w:val="18"/>
        <w:szCs w:val="18"/>
      </w:rPr>
      <w:t>6</w:t>
    </w:r>
    <w:r w:rsidRPr="00F85B67">
      <w:rPr>
        <w:rFonts w:ascii="Verdana" w:hAnsi="Verdana"/>
        <w:noProof/>
        <w:sz w:val="18"/>
        <w:szCs w:val="18"/>
      </w:rPr>
      <w:fldChar w:fldCharType="end"/>
    </w:r>
  </w:p>
  <w:p w14:paraId="04E8DE05" w14:textId="77777777" w:rsidR="005232B4" w:rsidRDefault="005232B4">
    <w:pPr>
      <w:pStyle w:val="Footer"/>
    </w:pPr>
  </w:p>
  <w:p w14:paraId="749A255A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9CC0A" w14:textId="77777777" w:rsidR="00F26EED" w:rsidRDefault="00F26EED" w:rsidP="004E6F4D">
      <w:r>
        <w:separator/>
      </w:r>
    </w:p>
  </w:footnote>
  <w:footnote w:type="continuationSeparator" w:id="0">
    <w:p w14:paraId="1D4D2B10" w14:textId="77777777" w:rsidR="00F26EED" w:rsidRDefault="00F26EED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70B88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835C8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B34D3"/>
    <w:multiLevelType w:val="hybridMultilevel"/>
    <w:tmpl w:val="A34E95DC"/>
    <w:lvl w:ilvl="0" w:tplc="38C66394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9"/>
  </w:num>
  <w:num w:numId="4">
    <w:abstractNumId w:val="9"/>
  </w:num>
  <w:num w:numId="5">
    <w:abstractNumId w:val="42"/>
  </w:num>
  <w:num w:numId="6">
    <w:abstractNumId w:val="30"/>
  </w:num>
  <w:num w:numId="7">
    <w:abstractNumId w:val="21"/>
  </w:num>
  <w:num w:numId="8">
    <w:abstractNumId w:val="6"/>
  </w:num>
  <w:num w:numId="9">
    <w:abstractNumId w:val="26"/>
  </w:num>
  <w:num w:numId="10">
    <w:abstractNumId w:val="34"/>
  </w:num>
  <w:num w:numId="11">
    <w:abstractNumId w:val="36"/>
  </w:num>
  <w:num w:numId="12">
    <w:abstractNumId w:val="7"/>
  </w:num>
  <w:num w:numId="13">
    <w:abstractNumId w:val="37"/>
  </w:num>
  <w:num w:numId="14">
    <w:abstractNumId w:val="5"/>
  </w:num>
  <w:num w:numId="15">
    <w:abstractNumId w:val="18"/>
  </w:num>
  <w:num w:numId="16">
    <w:abstractNumId w:val="16"/>
  </w:num>
  <w:num w:numId="17">
    <w:abstractNumId w:val="10"/>
  </w:num>
  <w:num w:numId="18">
    <w:abstractNumId w:val="20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3"/>
  </w:num>
  <w:num w:numId="23">
    <w:abstractNumId w:val="2"/>
  </w:num>
  <w:num w:numId="24">
    <w:abstractNumId w:val="8"/>
  </w:num>
  <w:num w:numId="25">
    <w:abstractNumId w:val="15"/>
  </w:num>
  <w:num w:numId="26">
    <w:abstractNumId w:val="14"/>
  </w:num>
  <w:num w:numId="27">
    <w:abstractNumId w:val="41"/>
  </w:num>
  <w:num w:numId="28">
    <w:abstractNumId w:val="25"/>
  </w:num>
  <w:num w:numId="29">
    <w:abstractNumId w:val="17"/>
  </w:num>
  <w:num w:numId="30">
    <w:abstractNumId w:val="29"/>
  </w:num>
  <w:num w:numId="31">
    <w:abstractNumId w:val="19"/>
  </w:num>
  <w:num w:numId="32">
    <w:abstractNumId w:val="28"/>
  </w:num>
  <w:num w:numId="33">
    <w:abstractNumId w:val="1"/>
  </w:num>
  <w:num w:numId="34">
    <w:abstractNumId w:val="4"/>
  </w:num>
  <w:num w:numId="35">
    <w:abstractNumId w:val="31"/>
  </w:num>
  <w:num w:numId="36">
    <w:abstractNumId w:val="33"/>
  </w:num>
  <w:num w:numId="37">
    <w:abstractNumId w:val="0"/>
  </w:num>
  <w:num w:numId="38">
    <w:abstractNumId w:val="43"/>
  </w:num>
  <w:num w:numId="39">
    <w:abstractNumId w:val="32"/>
  </w:num>
  <w:num w:numId="40">
    <w:abstractNumId w:val="44"/>
  </w:num>
  <w:num w:numId="41">
    <w:abstractNumId w:val="45"/>
  </w:num>
  <w:num w:numId="42">
    <w:abstractNumId w:val="46"/>
  </w:num>
  <w:num w:numId="43">
    <w:abstractNumId w:val="40"/>
  </w:num>
  <w:num w:numId="44">
    <w:abstractNumId w:val="23"/>
  </w:num>
  <w:num w:numId="45">
    <w:abstractNumId w:val="12"/>
  </w:num>
  <w:num w:numId="46">
    <w:abstractNumId w:val="3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49"/>
    <w:rsid w:val="00015E0C"/>
    <w:rsid w:val="0001728C"/>
    <w:rsid w:val="00044415"/>
    <w:rsid w:val="00064C51"/>
    <w:rsid w:val="000A2430"/>
    <w:rsid w:val="00120188"/>
    <w:rsid w:val="00125A1B"/>
    <w:rsid w:val="001402CB"/>
    <w:rsid w:val="00151B5E"/>
    <w:rsid w:val="00174F6C"/>
    <w:rsid w:val="001A44DA"/>
    <w:rsid w:val="001B672F"/>
    <w:rsid w:val="001F6FB9"/>
    <w:rsid w:val="00203D84"/>
    <w:rsid w:val="0021142B"/>
    <w:rsid w:val="002158C2"/>
    <w:rsid w:val="00224000"/>
    <w:rsid w:val="00237FD3"/>
    <w:rsid w:val="00242E9A"/>
    <w:rsid w:val="00251B7E"/>
    <w:rsid w:val="00260C25"/>
    <w:rsid w:val="002A5D68"/>
    <w:rsid w:val="002E461A"/>
    <w:rsid w:val="002E4AB3"/>
    <w:rsid w:val="00313D85"/>
    <w:rsid w:val="0035460C"/>
    <w:rsid w:val="00386654"/>
    <w:rsid w:val="003963F7"/>
    <w:rsid w:val="003A3D57"/>
    <w:rsid w:val="003B4EB5"/>
    <w:rsid w:val="003C0972"/>
    <w:rsid w:val="003C44A5"/>
    <w:rsid w:val="003E498D"/>
    <w:rsid w:val="004174E1"/>
    <w:rsid w:val="00427A64"/>
    <w:rsid w:val="004462C0"/>
    <w:rsid w:val="00447AF0"/>
    <w:rsid w:val="004558AF"/>
    <w:rsid w:val="004A01B7"/>
    <w:rsid w:val="004A55FB"/>
    <w:rsid w:val="004B585B"/>
    <w:rsid w:val="004B5FB5"/>
    <w:rsid w:val="004C5238"/>
    <w:rsid w:val="004E6F4D"/>
    <w:rsid w:val="004F0DC4"/>
    <w:rsid w:val="005111AE"/>
    <w:rsid w:val="00514E26"/>
    <w:rsid w:val="005232B4"/>
    <w:rsid w:val="005318EB"/>
    <w:rsid w:val="00534CA1"/>
    <w:rsid w:val="00570414"/>
    <w:rsid w:val="005835CC"/>
    <w:rsid w:val="005846D5"/>
    <w:rsid w:val="005C7389"/>
    <w:rsid w:val="005F649F"/>
    <w:rsid w:val="005F7296"/>
    <w:rsid w:val="00645A2B"/>
    <w:rsid w:val="0065641E"/>
    <w:rsid w:val="00672139"/>
    <w:rsid w:val="006A2F83"/>
    <w:rsid w:val="006C681E"/>
    <w:rsid w:val="006D431F"/>
    <w:rsid w:val="006D757E"/>
    <w:rsid w:val="006E3C72"/>
    <w:rsid w:val="006E6F31"/>
    <w:rsid w:val="006F1199"/>
    <w:rsid w:val="0070214E"/>
    <w:rsid w:val="00707EA5"/>
    <w:rsid w:val="007139BB"/>
    <w:rsid w:val="007422FD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7588E"/>
    <w:rsid w:val="008C4D57"/>
    <w:rsid w:val="008E54CB"/>
    <w:rsid w:val="008E77DF"/>
    <w:rsid w:val="008F2181"/>
    <w:rsid w:val="00925FBD"/>
    <w:rsid w:val="00933B84"/>
    <w:rsid w:val="009617C5"/>
    <w:rsid w:val="00964D24"/>
    <w:rsid w:val="00975F32"/>
    <w:rsid w:val="00980F2D"/>
    <w:rsid w:val="00984C7B"/>
    <w:rsid w:val="009A7C6C"/>
    <w:rsid w:val="009B0FDB"/>
    <w:rsid w:val="009E3679"/>
    <w:rsid w:val="009E4968"/>
    <w:rsid w:val="009E4BCB"/>
    <w:rsid w:val="009F7486"/>
    <w:rsid w:val="00A1202F"/>
    <w:rsid w:val="00A15FF1"/>
    <w:rsid w:val="00A66557"/>
    <w:rsid w:val="00A71513"/>
    <w:rsid w:val="00A71A49"/>
    <w:rsid w:val="00A76CD7"/>
    <w:rsid w:val="00A86624"/>
    <w:rsid w:val="00A96B50"/>
    <w:rsid w:val="00AA2DE2"/>
    <w:rsid w:val="00AC50F1"/>
    <w:rsid w:val="00AC5A21"/>
    <w:rsid w:val="00AD1E1B"/>
    <w:rsid w:val="00AD4210"/>
    <w:rsid w:val="00AD646A"/>
    <w:rsid w:val="00AF4681"/>
    <w:rsid w:val="00B20B2B"/>
    <w:rsid w:val="00B27991"/>
    <w:rsid w:val="00B32688"/>
    <w:rsid w:val="00B749FE"/>
    <w:rsid w:val="00BB598C"/>
    <w:rsid w:val="00BC36BC"/>
    <w:rsid w:val="00BC3B6B"/>
    <w:rsid w:val="00BD1F38"/>
    <w:rsid w:val="00BF130D"/>
    <w:rsid w:val="00C03BAA"/>
    <w:rsid w:val="00C06E38"/>
    <w:rsid w:val="00C23E23"/>
    <w:rsid w:val="00C23F35"/>
    <w:rsid w:val="00C319CA"/>
    <w:rsid w:val="00C76204"/>
    <w:rsid w:val="00CB103E"/>
    <w:rsid w:val="00CB3AC2"/>
    <w:rsid w:val="00CC29B0"/>
    <w:rsid w:val="00CD111B"/>
    <w:rsid w:val="00CD3DE0"/>
    <w:rsid w:val="00CE591B"/>
    <w:rsid w:val="00D021EB"/>
    <w:rsid w:val="00D233CA"/>
    <w:rsid w:val="00D23D8B"/>
    <w:rsid w:val="00D23E53"/>
    <w:rsid w:val="00D42734"/>
    <w:rsid w:val="00D567A2"/>
    <w:rsid w:val="00D86247"/>
    <w:rsid w:val="00DA7619"/>
    <w:rsid w:val="00DC083D"/>
    <w:rsid w:val="00DF362D"/>
    <w:rsid w:val="00E41B81"/>
    <w:rsid w:val="00E51C49"/>
    <w:rsid w:val="00E7020A"/>
    <w:rsid w:val="00E846FA"/>
    <w:rsid w:val="00EB213C"/>
    <w:rsid w:val="00EB773E"/>
    <w:rsid w:val="00F16AD7"/>
    <w:rsid w:val="00F247A7"/>
    <w:rsid w:val="00F26EED"/>
    <w:rsid w:val="00F85B67"/>
    <w:rsid w:val="00FC1558"/>
    <w:rsid w:val="00FD085E"/>
    <w:rsid w:val="00FD132B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2BFBD3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pfexecutive@conservati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pfexecutive@conservatio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AFEE31548F44BA134CEF29ACEEBE" ma:contentTypeVersion="4" ma:contentTypeDescription="Create a new document." ma:contentTypeScope="" ma:versionID="52821e46f20925f1cf95f286a0296daf">
  <xsd:schema xmlns:xsd="http://www.w3.org/2001/XMLSchema" xmlns:xs="http://www.w3.org/2001/XMLSchema" xmlns:p="http://schemas.microsoft.com/office/2006/metadata/properties" xmlns:ns2="2b6d8e2b-da27-426c-9a43-ea6c4c487a4b" targetNamespace="http://schemas.microsoft.com/office/2006/metadata/properties" ma:root="true" ma:fieldsID="3af4af0d01d2617904681becc8269f0f" ns2:_="">
    <xsd:import namespace="2b6d8e2b-da27-426c-9a43-ea6c4c48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8e2b-da27-426c-9a43-ea6c4c48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474F6-F8CC-4672-891D-9114208E7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D268B-8CC4-431A-A46B-E38866FE1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60528-21F5-4E26-8A43-71116ABC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8e2b-da27-426c-9a43-ea6c4c48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CEPF Grantee Pest Management Plan</vt:lpstr>
      <vt:lpstr>CEPF Grantee Pest Management Plan</vt:lpstr>
    </vt:vector>
  </TitlesOfParts>
  <Company>Conservation International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5</cp:revision>
  <cp:lastPrinted>2012-04-26T19:53:00Z</cp:lastPrinted>
  <dcterms:created xsi:type="dcterms:W3CDTF">2017-11-13T15:47:00Z</dcterms:created>
  <dcterms:modified xsi:type="dcterms:W3CDTF">2021-07-19T19:26:00Z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0x010100735CAFEE31548F44BA134CEF29ACEEBE</vt:lpwstr>
  </property>
</Properties>
</file>